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859" w:rsidRDefault="00F72859" w:rsidP="00F72859">
      <w:pPr>
        <w:jc w:val="center"/>
      </w:pPr>
      <w:r>
        <w:rPr>
          <w:noProof/>
        </w:rPr>
        <w:drawing>
          <wp:anchor distT="36576" distB="36576" distL="36576" distR="36576" simplePos="0" relativeHeight="251659264" behindDoc="0" locked="0" layoutInCell="1" allowOverlap="1" wp14:anchorId="14CE9FAF" wp14:editId="55D0C3DE">
            <wp:simplePos x="0" y="0"/>
            <wp:positionH relativeFrom="margin">
              <wp:align>center</wp:align>
            </wp:positionH>
            <wp:positionV relativeFrom="paragraph">
              <wp:posOffset>-514350</wp:posOffset>
            </wp:positionV>
            <wp:extent cx="1902460" cy="828675"/>
            <wp:effectExtent l="0" t="0" r="2540" b="9525"/>
            <wp:wrapNone/>
            <wp:docPr id="1" name="Picture 1" descr="Rising_Above_Re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ing_Above_Rebrand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2460"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411AE" w:rsidRDefault="00F72859" w:rsidP="00F72859">
      <w:pPr>
        <w:tabs>
          <w:tab w:val="left" w:pos="6375"/>
        </w:tabs>
      </w:pPr>
      <w:r>
        <w:tab/>
      </w:r>
    </w:p>
    <w:p w:rsidR="00F72859" w:rsidRDefault="00B17040" w:rsidP="00F72859">
      <w:pPr>
        <w:pStyle w:val="msoaddress"/>
        <w:widowControl w:val="0"/>
        <w:jc w:val="center"/>
        <w:rPr>
          <w:rFonts w:ascii="Bodoni MT" w:hAnsi="Bodoni MT"/>
          <w:color w:val="000000"/>
          <w:sz w:val="18"/>
          <w:szCs w:val="18"/>
          <w:lang w:val="en-US"/>
          <w14:ligatures w14:val="none"/>
        </w:rPr>
      </w:pPr>
      <w:r>
        <w:rPr>
          <w:rFonts w:ascii="Bodoni MT" w:hAnsi="Bodoni MT"/>
          <w:color w:val="000000"/>
          <w:sz w:val="18"/>
          <w:szCs w:val="18"/>
          <w:lang w:val="en-US"/>
          <w14:ligatures w14:val="none"/>
        </w:rPr>
        <w:t>11007 - 106</w:t>
      </w:r>
      <w:r w:rsidR="00F72859">
        <w:rPr>
          <w:rFonts w:ascii="Bodoni MT" w:hAnsi="Bodoni MT"/>
          <w:color w:val="000000"/>
          <w:sz w:val="18"/>
          <w:szCs w:val="18"/>
          <w:lang w:val="en-US"/>
          <w14:ligatures w14:val="none"/>
        </w:rPr>
        <w:t>th Street</w:t>
      </w:r>
    </w:p>
    <w:p w:rsidR="00F72859" w:rsidRDefault="00F72859" w:rsidP="00F72859">
      <w:pPr>
        <w:pStyle w:val="msoaddress"/>
        <w:widowControl w:val="0"/>
        <w:jc w:val="center"/>
        <w:rPr>
          <w:rFonts w:ascii="Bodoni MT" w:hAnsi="Bodoni MT"/>
          <w:color w:val="000000"/>
          <w:sz w:val="18"/>
          <w:szCs w:val="18"/>
          <w:lang w:val="en-US"/>
          <w14:ligatures w14:val="none"/>
        </w:rPr>
      </w:pPr>
      <w:r>
        <w:rPr>
          <w:rFonts w:ascii="Bodoni MT" w:hAnsi="Bodoni MT"/>
          <w:color w:val="000000"/>
          <w:sz w:val="18"/>
          <w:szCs w:val="18"/>
          <w:lang w:val="en-US"/>
          <w14:ligatures w14:val="none"/>
        </w:rPr>
        <w:t>Grande Prairie, AB</w:t>
      </w:r>
    </w:p>
    <w:p w:rsidR="00F72859" w:rsidRDefault="00B17040" w:rsidP="00F72859">
      <w:pPr>
        <w:pStyle w:val="msoaddress"/>
        <w:widowControl w:val="0"/>
        <w:jc w:val="center"/>
        <w:rPr>
          <w:rFonts w:ascii="Bodoni MT" w:hAnsi="Bodoni MT"/>
          <w:color w:val="000000"/>
          <w:sz w:val="18"/>
          <w:szCs w:val="18"/>
          <w:lang w:val="en-US"/>
          <w14:ligatures w14:val="none"/>
        </w:rPr>
      </w:pPr>
      <w:r>
        <w:rPr>
          <w:rFonts w:ascii="Bodoni MT" w:hAnsi="Bodoni MT"/>
          <w:color w:val="000000"/>
          <w:sz w:val="18"/>
          <w:szCs w:val="18"/>
          <w:lang w:val="en-US"/>
          <w14:ligatures w14:val="none"/>
        </w:rPr>
        <w:t>T8V 2Z</w:t>
      </w:r>
      <w:r w:rsidR="00F72859">
        <w:rPr>
          <w:rFonts w:ascii="Bodoni MT" w:hAnsi="Bodoni MT"/>
          <w:color w:val="000000"/>
          <w:sz w:val="18"/>
          <w:szCs w:val="18"/>
          <w:lang w:val="en-US"/>
          <w14:ligatures w14:val="none"/>
        </w:rPr>
        <w:t>3</w:t>
      </w:r>
    </w:p>
    <w:p w:rsidR="00F72859" w:rsidRDefault="000B7F06" w:rsidP="00F72859">
      <w:pPr>
        <w:tabs>
          <w:tab w:val="left" w:pos="6375"/>
        </w:tabs>
        <w:jc w:val="center"/>
      </w:pPr>
      <w:hyperlink r:id="rId6" w:history="1">
        <w:r w:rsidR="00B74F56" w:rsidRPr="00894E56">
          <w:rPr>
            <w:rStyle w:val="Hyperlink"/>
          </w:rPr>
          <w:t>www.risingabovegp.com</w:t>
        </w:r>
      </w:hyperlink>
      <w:r w:rsidR="00B74F56">
        <w:t xml:space="preserve"> </w:t>
      </w:r>
    </w:p>
    <w:p w:rsidR="002A0EEE" w:rsidRPr="002A0EEE" w:rsidRDefault="002A0EEE" w:rsidP="002A0EEE">
      <w:pPr>
        <w:tabs>
          <w:tab w:val="left" w:pos="6375"/>
        </w:tabs>
        <w:jc w:val="center"/>
        <w:rPr>
          <w:b/>
          <w:sz w:val="32"/>
          <w:szCs w:val="32"/>
          <w:u w:val="single"/>
        </w:rPr>
      </w:pPr>
      <w:r w:rsidRPr="002A0EEE">
        <w:rPr>
          <w:b/>
          <w:sz w:val="32"/>
          <w:szCs w:val="32"/>
          <w:u w:val="single"/>
        </w:rPr>
        <w:t>Rising Above – Organization Quick Facts</w:t>
      </w:r>
      <w:r w:rsidR="00CF5B60">
        <w:rPr>
          <w:b/>
          <w:sz w:val="32"/>
          <w:szCs w:val="32"/>
          <w:u w:val="single"/>
        </w:rPr>
        <w:t xml:space="preserve"> &amp; Stats</w:t>
      </w:r>
    </w:p>
    <w:p w:rsidR="002A0EEE" w:rsidRPr="00B403D2" w:rsidRDefault="00B403D2" w:rsidP="002A0EEE">
      <w:pPr>
        <w:tabs>
          <w:tab w:val="left" w:pos="6375"/>
        </w:tabs>
        <w:jc w:val="center"/>
        <w:rPr>
          <w:b/>
          <w:sz w:val="32"/>
          <w:szCs w:val="32"/>
          <w:u w:val="single"/>
        </w:rPr>
      </w:pPr>
      <w:r w:rsidRPr="00B403D2">
        <w:rPr>
          <w:b/>
          <w:sz w:val="32"/>
          <w:szCs w:val="32"/>
          <w:u w:val="single"/>
        </w:rPr>
        <w:t>(</w:t>
      </w:r>
      <w:r w:rsidR="008F1195">
        <w:rPr>
          <w:b/>
          <w:sz w:val="32"/>
          <w:szCs w:val="32"/>
          <w:u w:val="single"/>
        </w:rPr>
        <w:t>November</w:t>
      </w:r>
      <w:r w:rsidRPr="00B403D2">
        <w:rPr>
          <w:b/>
          <w:sz w:val="32"/>
          <w:szCs w:val="32"/>
          <w:u w:val="single"/>
        </w:rPr>
        <w:t xml:space="preserve"> 2017)</w:t>
      </w:r>
    </w:p>
    <w:p w:rsidR="002A0EEE" w:rsidRPr="002A0EEE" w:rsidRDefault="002A0EEE" w:rsidP="002A0EEE">
      <w:pPr>
        <w:tabs>
          <w:tab w:val="left" w:pos="6375"/>
        </w:tabs>
        <w:jc w:val="center"/>
        <w:rPr>
          <w:b/>
          <w:u w:val="single"/>
        </w:rPr>
      </w:pPr>
      <w:r>
        <w:rPr>
          <w:b/>
          <w:u w:val="single"/>
        </w:rPr>
        <w:t>Offic</w:t>
      </w:r>
      <w:r w:rsidR="001E199E">
        <w:rPr>
          <w:b/>
          <w:u w:val="single"/>
        </w:rPr>
        <w:t>i</w:t>
      </w:r>
      <w:r>
        <w:rPr>
          <w:b/>
          <w:u w:val="single"/>
        </w:rPr>
        <w:t xml:space="preserve">al </w:t>
      </w:r>
      <w:r w:rsidR="000B7F06" w:rsidRPr="002A0EEE">
        <w:rPr>
          <w:b/>
          <w:u w:val="single"/>
        </w:rPr>
        <w:t>Name:</w:t>
      </w:r>
      <w:r w:rsidRPr="002A0EEE">
        <w:rPr>
          <w:b/>
          <w:u w:val="single"/>
        </w:rPr>
        <w:t xml:space="preserve">  Rising Above Ministry, Grande Prairie </w:t>
      </w:r>
    </w:p>
    <w:p w:rsidR="002A0EEE" w:rsidRPr="002A0EEE" w:rsidRDefault="00B74F56" w:rsidP="006A0BC6">
      <w:pPr>
        <w:tabs>
          <w:tab w:val="left" w:pos="6375"/>
        </w:tabs>
        <w:jc w:val="center"/>
        <w:rPr>
          <w:b/>
          <w:u w:val="single"/>
        </w:rPr>
      </w:pPr>
      <w:r>
        <w:rPr>
          <w:b/>
          <w:u w:val="single"/>
        </w:rPr>
        <w:t xml:space="preserve">CRA </w:t>
      </w:r>
      <w:r w:rsidR="002A0EEE" w:rsidRPr="002A0EEE">
        <w:rPr>
          <w:b/>
          <w:u w:val="single"/>
        </w:rPr>
        <w:t>Registration Number: 809800469RR0001</w:t>
      </w:r>
    </w:p>
    <w:p w:rsidR="002A0EEE" w:rsidRPr="002A0EEE" w:rsidRDefault="002A0EEE" w:rsidP="00220368">
      <w:pPr>
        <w:tabs>
          <w:tab w:val="left" w:pos="6375"/>
        </w:tabs>
        <w:jc w:val="center"/>
        <w:rPr>
          <w:b/>
          <w:u w:val="single"/>
        </w:rPr>
      </w:pPr>
      <w:r w:rsidRPr="002A0EEE">
        <w:rPr>
          <w:b/>
          <w:u w:val="single"/>
        </w:rPr>
        <w:t>Effective Date:  April 24, 2015</w:t>
      </w:r>
      <w:r w:rsidR="00220368">
        <w:rPr>
          <w:b/>
          <w:u w:val="single"/>
        </w:rPr>
        <w:t xml:space="preserve"> - </w:t>
      </w:r>
      <w:r w:rsidRPr="002A0EEE">
        <w:rPr>
          <w:b/>
          <w:u w:val="single"/>
        </w:rPr>
        <w:t>Charity type:  Welfare Organization</w:t>
      </w:r>
    </w:p>
    <w:p w:rsidR="002A0EEE" w:rsidRPr="002A0EEE" w:rsidRDefault="00B403D2" w:rsidP="001B135F">
      <w:pPr>
        <w:tabs>
          <w:tab w:val="left" w:pos="6375"/>
        </w:tabs>
        <w:jc w:val="center"/>
        <w:rPr>
          <w:b/>
          <w:u w:val="single"/>
        </w:rPr>
      </w:pPr>
      <w:r>
        <w:rPr>
          <w:b/>
          <w:u w:val="single"/>
        </w:rPr>
        <w:t>Address:  11007 - 106</w:t>
      </w:r>
      <w:r w:rsidR="002A0EEE" w:rsidRPr="002A0EEE">
        <w:rPr>
          <w:b/>
          <w:u w:val="single"/>
        </w:rPr>
        <w:t xml:space="preserve"> Str</w:t>
      </w:r>
      <w:r>
        <w:rPr>
          <w:b/>
          <w:u w:val="single"/>
        </w:rPr>
        <w:t xml:space="preserve">eet, Grande Prairie, </w:t>
      </w:r>
      <w:r w:rsidR="000B7F06">
        <w:rPr>
          <w:b/>
          <w:u w:val="single"/>
        </w:rPr>
        <w:t>AB T</w:t>
      </w:r>
      <w:r>
        <w:rPr>
          <w:b/>
          <w:u w:val="single"/>
        </w:rPr>
        <w:t>8V 2Z3</w:t>
      </w:r>
    </w:p>
    <w:p w:rsidR="002A0EEE" w:rsidRPr="002A0EEE" w:rsidRDefault="002A0EEE" w:rsidP="001B135F">
      <w:pPr>
        <w:tabs>
          <w:tab w:val="left" w:pos="6375"/>
        </w:tabs>
        <w:rPr>
          <w:b/>
          <w:u w:val="single"/>
        </w:rPr>
      </w:pPr>
      <w:r w:rsidRPr="002A0EEE">
        <w:rPr>
          <w:b/>
          <w:u w:val="single"/>
        </w:rPr>
        <w:t>Overview/Background:</w:t>
      </w:r>
    </w:p>
    <w:p w:rsidR="002A0EEE" w:rsidRDefault="002A0EEE" w:rsidP="002A0EEE">
      <w:pPr>
        <w:tabs>
          <w:tab w:val="left" w:pos="6375"/>
        </w:tabs>
        <w:jc w:val="both"/>
        <w:rPr>
          <w:b/>
        </w:rPr>
      </w:pPr>
      <w:r w:rsidRPr="002A0EEE">
        <w:rPr>
          <w:b/>
        </w:rPr>
        <w:t>Rising Above Ministry was founded in 2007 to provide housing and supports for adult men and women trapped in 'cycles of defeat'.  Cycles of defeat include, but not limited to: addictions, anger, anxiety, shame, and poor self-esteem.  Rising Above provides a resid</w:t>
      </w:r>
      <w:r>
        <w:rPr>
          <w:b/>
        </w:rPr>
        <w:t xml:space="preserve">ential treatment HELPS program </w:t>
      </w:r>
      <w:r w:rsidRPr="002A0EEE">
        <w:rPr>
          <w:b/>
        </w:rPr>
        <w:t xml:space="preserve">that includes:  Housing; Employment Readiness; Life Skills; Personal Development; and Spiritual Formation.  Non-residential and outreach programs are also provided to the community through an individualized service plan that fits the needs of each client.  Rising Above also offers one-on-one sessions and community awareness presentations to help people understand a variety of topics taught in our life skills classes.   Our participants and clients range from a wide variety of social economic situations, but a large portion struggle with homelessness, unemployment, relational crisis, and/or destructive lifestyles.  </w:t>
      </w:r>
    </w:p>
    <w:p w:rsidR="00086075" w:rsidRDefault="00086075" w:rsidP="002A0EEE">
      <w:pPr>
        <w:tabs>
          <w:tab w:val="left" w:pos="6375"/>
        </w:tabs>
        <w:jc w:val="both"/>
        <w:rPr>
          <w:b/>
        </w:rPr>
      </w:pPr>
      <w:r w:rsidRPr="00086075">
        <w:rPr>
          <w:b/>
        </w:rPr>
        <w:t xml:space="preserve">The Residential Treatment Program </w:t>
      </w:r>
      <w:r w:rsidR="00542DF0">
        <w:rPr>
          <w:b/>
        </w:rPr>
        <w:t xml:space="preserve">has </w:t>
      </w:r>
      <w:r w:rsidRPr="00086075">
        <w:rPr>
          <w:b/>
        </w:rPr>
        <w:t>housing capacity for 35 individuals (16 women - 3 houses) &amp; 19 men Park Campus facility housing.</w:t>
      </w:r>
      <w:r w:rsidR="00542DF0">
        <w:rPr>
          <w:b/>
        </w:rPr>
        <w:t xml:space="preserve"> </w:t>
      </w:r>
      <w:r w:rsidR="00B403D2">
        <w:rPr>
          <w:b/>
        </w:rPr>
        <w:t xml:space="preserve"> The number of beds doubled in 2017 due to the opening of the new Park Campus and the addition of another women’s house.  Park Campus also houses our administration and training center as of March 2017.  </w:t>
      </w:r>
    </w:p>
    <w:p w:rsidR="006A0BC6" w:rsidRPr="002A0EEE" w:rsidRDefault="00DA7F0F" w:rsidP="002A0EEE">
      <w:pPr>
        <w:tabs>
          <w:tab w:val="left" w:pos="6375"/>
        </w:tabs>
        <w:jc w:val="both"/>
        <w:rPr>
          <w:b/>
        </w:rPr>
      </w:pPr>
      <w:r w:rsidRPr="00DA7F0F">
        <w:rPr>
          <w:b/>
        </w:rPr>
        <w:t xml:space="preserve">On December 2017 the Work Readiness program transitioned to a partnership with </w:t>
      </w:r>
      <w:r>
        <w:rPr>
          <w:b/>
        </w:rPr>
        <w:t xml:space="preserve">community </w:t>
      </w:r>
      <w:r w:rsidRPr="00DA7F0F">
        <w:rPr>
          <w:b/>
        </w:rPr>
        <w:t xml:space="preserve">employers to help </w:t>
      </w:r>
      <w:r>
        <w:rPr>
          <w:b/>
        </w:rPr>
        <w:t>Participants</w:t>
      </w:r>
      <w:r w:rsidRPr="00DA7F0F">
        <w:rPr>
          <w:b/>
        </w:rPr>
        <w:t xml:space="preserve"> re-enter the workforce. </w:t>
      </w:r>
      <w:proofErr w:type="gramStart"/>
      <w:r>
        <w:rPr>
          <w:b/>
        </w:rPr>
        <w:t>Previous to</w:t>
      </w:r>
      <w:proofErr w:type="gramEnd"/>
      <w:r>
        <w:rPr>
          <w:b/>
        </w:rPr>
        <w:t xml:space="preserve"> this </w:t>
      </w:r>
      <w:r w:rsidR="006A0BC6">
        <w:rPr>
          <w:b/>
        </w:rPr>
        <w:t>Rising Above operate</w:t>
      </w:r>
      <w:r w:rsidR="00A60D04">
        <w:rPr>
          <w:b/>
        </w:rPr>
        <w:t>d</w:t>
      </w:r>
      <w:r w:rsidR="00544C16">
        <w:rPr>
          <w:b/>
        </w:rPr>
        <w:t>,</w:t>
      </w:r>
      <w:r w:rsidR="006A0BC6">
        <w:rPr>
          <w:b/>
        </w:rPr>
        <w:t xml:space="preserve"> Second Chance Furniture Store, a 2</w:t>
      </w:r>
      <w:r w:rsidR="006A0BC6" w:rsidRPr="006A0BC6">
        <w:rPr>
          <w:b/>
          <w:vertAlign w:val="superscript"/>
        </w:rPr>
        <w:t>nd</w:t>
      </w:r>
      <w:r w:rsidR="006A0BC6">
        <w:rPr>
          <w:b/>
        </w:rPr>
        <w:t xml:space="preserve"> hand furniture business that provide</w:t>
      </w:r>
      <w:r>
        <w:rPr>
          <w:b/>
        </w:rPr>
        <w:t>d</w:t>
      </w:r>
      <w:r w:rsidR="006A0BC6">
        <w:rPr>
          <w:b/>
        </w:rPr>
        <w:t xml:space="preserve"> Participants with work readiness training and skills</w:t>
      </w:r>
      <w:r w:rsidR="00220368">
        <w:rPr>
          <w:b/>
        </w:rPr>
        <w:t xml:space="preserve">.  Second Chance store operated </w:t>
      </w:r>
      <w:r w:rsidR="00A60D04">
        <w:rPr>
          <w:b/>
        </w:rPr>
        <w:t xml:space="preserve">from 2012 until November 2017. </w:t>
      </w:r>
      <w:r w:rsidR="006A0BC6">
        <w:rPr>
          <w:b/>
        </w:rPr>
        <w:t xml:space="preserve"> </w:t>
      </w:r>
      <w:r w:rsidR="00220368">
        <w:rPr>
          <w:b/>
        </w:rPr>
        <w:t xml:space="preserve">Rising Above partners with the City of Grande Prairie Community Social Development department and its’ housing agencies to transition and support participants in their recovery journeys.  </w:t>
      </w:r>
    </w:p>
    <w:p w:rsidR="003235A4" w:rsidRDefault="002A0EEE" w:rsidP="003235A4">
      <w:pPr>
        <w:tabs>
          <w:tab w:val="left" w:pos="6375"/>
        </w:tabs>
        <w:jc w:val="both"/>
        <w:rPr>
          <w:b/>
        </w:rPr>
      </w:pPr>
      <w:r w:rsidRPr="002A0EEE">
        <w:rPr>
          <w:b/>
        </w:rPr>
        <w:t xml:space="preserve">Rising Above is </w:t>
      </w:r>
      <w:r w:rsidR="001B135F">
        <w:rPr>
          <w:b/>
        </w:rPr>
        <w:t>largely</w:t>
      </w:r>
      <w:r w:rsidRPr="002A0EEE">
        <w:rPr>
          <w:b/>
        </w:rPr>
        <w:t xml:space="preserve"> funded through the generous donations of individuals, businesses, and other organizations/groups </w:t>
      </w:r>
      <w:r w:rsidR="001B135F">
        <w:rPr>
          <w:b/>
        </w:rPr>
        <w:t xml:space="preserve">(e.g. Rotary Clubs) </w:t>
      </w:r>
      <w:r w:rsidRPr="002A0EEE">
        <w:rPr>
          <w:b/>
        </w:rPr>
        <w:t>who believe in the cause of Rising Above, and want to see people break out of their cycles of defeat.</w:t>
      </w:r>
      <w:r w:rsidR="009067FC">
        <w:rPr>
          <w:b/>
        </w:rPr>
        <w:t xml:space="preserve">  The local municipalities of the City of Grande Prairie, County of Grande Prairie, and MD of Greenview have also provide</w:t>
      </w:r>
      <w:r w:rsidR="001B135F">
        <w:rPr>
          <w:b/>
        </w:rPr>
        <w:t>d</w:t>
      </w:r>
      <w:r w:rsidR="009067FC">
        <w:rPr>
          <w:b/>
        </w:rPr>
        <w:t xml:space="preserve"> funding grants </w:t>
      </w:r>
      <w:r w:rsidR="001B135F">
        <w:rPr>
          <w:b/>
        </w:rPr>
        <w:t>in the past year to</w:t>
      </w:r>
      <w:r w:rsidR="009067FC">
        <w:rPr>
          <w:b/>
        </w:rPr>
        <w:t xml:space="preserve"> </w:t>
      </w:r>
      <w:r w:rsidR="001B135F">
        <w:rPr>
          <w:b/>
        </w:rPr>
        <w:t xml:space="preserve">support </w:t>
      </w:r>
      <w:r w:rsidR="001B135F">
        <w:rPr>
          <w:b/>
        </w:rPr>
        <w:lastRenderedPageBreak/>
        <w:t xml:space="preserve">our capital projects and programs.  In addition, the Province of Alberta has supported the Park Campus transition project through the CEFP and CIP matching grant programs. </w:t>
      </w:r>
    </w:p>
    <w:p w:rsidR="00C73E40" w:rsidRPr="00B403D2" w:rsidRDefault="00C73E40" w:rsidP="00C73E40">
      <w:pPr>
        <w:tabs>
          <w:tab w:val="left" w:pos="6375"/>
        </w:tabs>
        <w:jc w:val="center"/>
        <w:rPr>
          <w:b/>
          <w:sz w:val="28"/>
          <w:szCs w:val="28"/>
          <w:u w:val="single"/>
        </w:rPr>
      </w:pPr>
      <w:r w:rsidRPr="00B403D2">
        <w:rPr>
          <w:b/>
          <w:sz w:val="28"/>
          <w:szCs w:val="28"/>
          <w:u w:val="single"/>
        </w:rPr>
        <w:t>Rising Above Stats</w:t>
      </w:r>
    </w:p>
    <w:p w:rsidR="00F463BA" w:rsidRDefault="008F1195" w:rsidP="003235A4">
      <w:pPr>
        <w:tabs>
          <w:tab w:val="left" w:pos="6375"/>
        </w:tabs>
        <w:jc w:val="both"/>
        <w:rPr>
          <w:b/>
        </w:rPr>
      </w:pPr>
      <w:r>
        <w:rPr>
          <w:b/>
        </w:rPr>
        <w:t xml:space="preserve">Since moving into the new Park Campus facility in March 2017, there has been a significant increase in the number of (new) participants entering the program.  It is forecast that the number of participants entering the residential program will double </w:t>
      </w:r>
      <w:r w:rsidR="00544C16">
        <w:rPr>
          <w:b/>
        </w:rPr>
        <w:t>in</w:t>
      </w:r>
      <w:r>
        <w:rPr>
          <w:b/>
        </w:rPr>
        <w:t xml:space="preserve"> 2017</w:t>
      </w:r>
      <w:r w:rsidR="00DA7F0F">
        <w:rPr>
          <w:b/>
        </w:rPr>
        <w:t xml:space="preserve"> from 2016</w:t>
      </w:r>
      <w:r w:rsidR="00544C16">
        <w:rPr>
          <w:b/>
        </w:rPr>
        <w:t xml:space="preserve"> numbers</w:t>
      </w:r>
      <w:r w:rsidR="00DA7F0F">
        <w:rPr>
          <w:b/>
        </w:rPr>
        <w:t xml:space="preserve">. </w:t>
      </w:r>
    </w:p>
    <w:p w:rsidR="00F463BA" w:rsidRDefault="008F1195" w:rsidP="00086075">
      <w:pPr>
        <w:tabs>
          <w:tab w:val="left" w:pos="6375"/>
        </w:tabs>
        <w:jc w:val="center"/>
        <w:rPr>
          <w:b/>
        </w:rPr>
      </w:pPr>
      <w:r>
        <w:rPr>
          <w:noProof/>
        </w:rPr>
        <w:drawing>
          <wp:inline distT="0" distB="0" distL="0" distR="0" wp14:anchorId="47A35A10" wp14:editId="60C2E9A2">
            <wp:extent cx="4572000" cy="2743200"/>
            <wp:effectExtent l="0" t="0" r="0" b="0"/>
            <wp:docPr id="3" name="Chart 3">
              <a:extLst xmlns:a="http://schemas.openxmlformats.org/drawingml/2006/main">
                <a:ext uri="{FF2B5EF4-FFF2-40B4-BE49-F238E27FC236}">
                  <a16:creationId xmlns:a16="http://schemas.microsoft.com/office/drawing/2014/main" id="{143B314F-7ADF-46CA-A9D9-FF7AF3651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7040" w:rsidRDefault="003235A4" w:rsidP="003235A4">
      <w:pPr>
        <w:tabs>
          <w:tab w:val="left" w:pos="6375"/>
        </w:tabs>
        <w:jc w:val="both"/>
        <w:rPr>
          <w:b/>
        </w:rPr>
      </w:pPr>
      <w:r w:rsidRPr="003235A4">
        <w:rPr>
          <w:b/>
        </w:rPr>
        <w:t>Current occupancy</w:t>
      </w:r>
      <w:r w:rsidR="00B17040">
        <w:rPr>
          <w:b/>
        </w:rPr>
        <w:t xml:space="preserve"> </w:t>
      </w:r>
      <w:r w:rsidR="00542DF0">
        <w:rPr>
          <w:b/>
          <w:u w:val="single"/>
        </w:rPr>
        <w:t>2017 (</w:t>
      </w:r>
      <w:r w:rsidR="00270E5E">
        <w:rPr>
          <w:b/>
          <w:u w:val="single"/>
        </w:rPr>
        <w:t>NOVEMBER</w:t>
      </w:r>
      <w:r w:rsidR="00B17040">
        <w:rPr>
          <w:b/>
        </w:rPr>
        <w:t>)</w:t>
      </w:r>
      <w:r w:rsidRPr="003235A4">
        <w:rPr>
          <w:b/>
        </w:rPr>
        <w:t>, admission &amp; wait-list</w:t>
      </w:r>
      <w:r w:rsidR="00E027E3">
        <w:rPr>
          <w:b/>
        </w:rPr>
        <w:t>, and RA grad</w:t>
      </w:r>
      <w:r w:rsidRPr="003235A4">
        <w:rPr>
          <w:b/>
        </w:rPr>
        <w:t xml:space="preserve"> numbers</w:t>
      </w:r>
      <w:r w:rsidR="00B17040">
        <w:rPr>
          <w:b/>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17040" w:rsidTr="00E9238A">
        <w:tc>
          <w:tcPr>
            <w:tcW w:w="1558" w:type="dxa"/>
          </w:tcPr>
          <w:p w:rsidR="00B17040" w:rsidRDefault="00B17040" w:rsidP="00E9238A">
            <w:pPr>
              <w:tabs>
                <w:tab w:val="left" w:pos="6375"/>
              </w:tabs>
              <w:jc w:val="both"/>
              <w:rPr>
                <w:b/>
              </w:rPr>
            </w:pPr>
            <w:r>
              <w:rPr>
                <w:b/>
              </w:rPr>
              <w:t>Program</w:t>
            </w:r>
          </w:p>
        </w:tc>
        <w:tc>
          <w:tcPr>
            <w:tcW w:w="1558" w:type="dxa"/>
          </w:tcPr>
          <w:p w:rsidR="00B17040" w:rsidRDefault="00B17040" w:rsidP="00E9238A">
            <w:pPr>
              <w:tabs>
                <w:tab w:val="left" w:pos="6375"/>
              </w:tabs>
              <w:jc w:val="both"/>
              <w:rPr>
                <w:b/>
              </w:rPr>
            </w:pPr>
            <w:r>
              <w:rPr>
                <w:b/>
              </w:rPr>
              <w:t>Month</w:t>
            </w:r>
          </w:p>
        </w:tc>
        <w:tc>
          <w:tcPr>
            <w:tcW w:w="1558" w:type="dxa"/>
          </w:tcPr>
          <w:p w:rsidR="00B17040" w:rsidRDefault="00B17040" w:rsidP="00E9238A">
            <w:pPr>
              <w:tabs>
                <w:tab w:val="left" w:pos="6375"/>
              </w:tabs>
              <w:jc w:val="both"/>
              <w:rPr>
                <w:b/>
              </w:rPr>
            </w:pPr>
            <w:r>
              <w:rPr>
                <w:b/>
              </w:rPr>
              <w:t>Occupancy</w:t>
            </w:r>
          </w:p>
        </w:tc>
        <w:tc>
          <w:tcPr>
            <w:tcW w:w="1558" w:type="dxa"/>
          </w:tcPr>
          <w:p w:rsidR="00B17040" w:rsidRDefault="00B17040" w:rsidP="00E9238A">
            <w:pPr>
              <w:tabs>
                <w:tab w:val="left" w:pos="6375"/>
              </w:tabs>
              <w:jc w:val="both"/>
              <w:rPr>
                <w:b/>
              </w:rPr>
            </w:pPr>
            <w:r>
              <w:rPr>
                <w:b/>
              </w:rPr>
              <w:t>Admissions</w:t>
            </w:r>
          </w:p>
        </w:tc>
        <w:tc>
          <w:tcPr>
            <w:tcW w:w="1559" w:type="dxa"/>
          </w:tcPr>
          <w:p w:rsidR="00B17040" w:rsidRDefault="00B17040" w:rsidP="00E9238A">
            <w:pPr>
              <w:tabs>
                <w:tab w:val="left" w:pos="6375"/>
              </w:tabs>
              <w:jc w:val="both"/>
              <w:rPr>
                <w:b/>
              </w:rPr>
            </w:pPr>
            <w:r>
              <w:rPr>
                <w:b/>
              </w:rPr>
              <w:t>Wait Listed</w:t>
            </w:r>
          </w:p>
        </w:tc>
        <w:tc>
          <w:tcPr>
            <w:tcW w:w="1559" w:type="dxa"/>
          </w:tcPr>
          <w:p w:rsidR="00B17040" w:rsidRDefault="00B17040" w:rsidP="00E9238A">
            <w:pPr>
              <w:tabs>
                <w:tab w:val="left" w:pos="6375"/>
              </w:tabs>
              <w:jc w:val="both"/>
              <w:rPr>
                <w:b/>
              </w:rPr>
            </w:pPr>
            <w:r>
              <w:rPr>
                <w:b/>
              </w:rPr>
              <w:t>RA Grads</w:t>
            </w:r>
          </w:p>
        </w:tc>
      </w:tr>
      <w:tr w:rsidR="00B17040" w:rsidTr="00E9238A">
        <w:tc>
          <w:tcPr>
            <w:tcW w:w="1558" w:type="dxa"/>
          </w:tcPr>
          <w:p w:rsidR="00B17040" w:rsidRDefault="00B17040" w:rsidP="00E9238A">
            <w:pPr>
              <w:tabs>
                <w:tab w:val="left" w:pos="6375"/>
              </w:tabs>
              <w:jc w:val="both"/>
              <w:rPr>
                <w:b/>
              </w:rPr>
            </w:pPr>
            <w:r>
              <w:rPr>
                <w:b/>
              </w:rPr>
              <w:t>MEN</w:t>
            </w:r>
          </w:p>
        </w:tc>
        <w:tc>
          <w:tcPr>
            <w:tcW w:w="1558" w:type="dxa"/>
          </w:tcPr>
          <w:p w:rsidR="00B17040" w:rsidRDefault="00542DF0" w:rsidP="00E9238A">
            <w:pPr>
              <w:tabs>
                <w:tab w:val="left" w:pos="6375"/>
              </w:tabs>
              <w:jc w:val="both"/>
              <w:rPr>
                <w:b/>
              </w:rPr>
            </w:pPr>
            <w:r>
              <w:rPr>
                <w:b/>
              </w:rPr>
              <w:t xml:space="preserve">Up to </w:t>
            </w:r>
            <w:r w:rsidR="008F1195">
              <w:rPr>
                <w:b/>
              </w:rPr>
              <w:t>Nov</w:t>
            </w:r>
          </w:p>
        </w:tc>
        <w:tc>
          <w:tcPr>
            <w:tcW w:w="1558" w:type="dxa"/>
          </w:tcPr>
          <w:p w:rsidR="00B17040" w:rsidRDefault="00542DF0" w:rsidP="00E9238A">
            <w:pPr>
              <w:tabs>
                <w:tab w:val="left" w:pos="6375"/>
              </w:tabs>
              <w:jc w:val="both"/>
              <w:rPr>
                <w:b/>
              </w:rPr>
            </w:pPr>
            <w:r>
              <w:rPr>
                <w:b/>
              </w:rPr>
              <w:t>66.7</w:t>
            </w:r>
            <w:r w:rsidR="00B17040">
              <w:rPr>
                <w:b/>
              </w:rPr>
              <w:t xml:space="preserve"> % rate</w:t>
            </w:r>
          </w:p>
        </w:tc>
        <w:tc>
          <w:tcPr>
            <w:tcW w:w="1558" w:type="dxa"/>
          </w:tcPr>
          <w:p w:rsidR="00B17040" w:rsidRDefault="008F1195" w:rsidP="00E9238A">
            <w:pPr>
              <w:tabs>
                <w:tab w:val="left" w:pos="6375"/>
              </w:tabs>
              <w:jc w:val="both"/>
              <w:rPr>
                <w:b/>
              </w:rPr>
            </w:pPr>
            <w:r>
              <w:rPr>
                <w:b/>
              </w:rPr>
              <w:t>49</w:t>
            </w:r>
          </w:p>
        </w:tc>
        <w:tc>
          <w:tcPr>
            <w:tcW w:w="1559" w:type="dxa"/>
          </w:tcPr>
          <w:p w:rsidR="00B17040" w:rsidRDefault="008F1195" w:rsidP="00E9238A">
            <w:pPr>
              <w:tabs>
                <w:tab w:val="left" w:pos="6375"/>
              </w:tabs>
              <w:jc w:val="both"/>
              <w:rPr>
                <w:b/>
              </w:rPr>
            </w:pPr>
            <w:r>
              <w:rPr>
                <w:b/>
              </w:rPr>
              <w:t>148</w:t>
            </w:r>
          </w:p>
        </w:tc>
        <w:tc>
          <w:tcPr>
            <w:tcW w:w="1559" w:type="dxa"/>
          </w:tcPr>
          <w:p w:rsidR="00B17040" w:rsidRDefault="008F1195" w:rsidP="00E9238A">
            <w:pPr>
              <w:tabs>
                <w:tab w:val="left" w:pos="6375"/>
              </w:tabs>
              <w:jc w:val="both"/>
              <w:rPr>
                <w:b/>
              </w:rPr>
            </w:pPr>
            <w:r>
              <w:rPr>
                <w:b/>
              </w:rPr>
              <w:t>8</w:t>
            </w:r>
          </w:p>
        </w:tc>
      </w:tr>
      <w:tr w:rsidR="00B17040" w:rsidTr="00E9238A">
        <w:tc>
          <w:tcPr>
            <w:tcW w:w="1558" w:type="dxa"/>
          </w:tcPr>
          <w:p w:rsidR="00B17040" w:rsidRDefault="00B17040" w:rsidP="00E9238A">
            <w:pPr>
              <w:tabs>
                <w:tab w:val="left" w:pos="6375"/>
              </w:tabs>
              <w:jc w:val="both"/>
              <w:rPr>
                <w:b/>
              </w:rPr>
            </w:pPr>
            <w:r>
              <w:rPr>
                <w:b/>
              </w:rPr>
              <w:t>WOMEN</w:t>
            </w:r>
          </w:p>
        </w:tc>
        <w:tc>
          <w:tcPr>
            <w:tcW w:w="1558" w:type="dxa"/>
          </w:tcPr>
          <w:p w:rsidR="00B17040" w:rsidRDefault="00542DF0" w:rsidP="00E9238A">
            <w:pPr>
              <w:tabs>
                <w:tab w:val="left" w:pos="6375"/>
              </w:tabs>
              <w:jc w:val="both"/>
              <w:rPr>
                <w:b/>
              </w:rPr>
            </w:pPr>
            <w:r>
              <w:rPr>
                <w:b/>
              </w:rPr>
              <w:t xml:space="preserve">Up to </w:t>
            </w:r>
            <w:r w:rsidR="008F1195">
              <w:rPr>
                <w:b/>
              </w:rPr>
              <w:t>Nov</w:t>
            </w:r>
          </w:p>
        </w:tc>
        <w:tc>
          <w:tcPr>
            <w:tcW w:w="1558" w:type="dxa"/>
          </w:tcPr>
          <w:p w:rsidR="00B17040" w:rsidRDefault="00542DF0" w:rsidP="00E9238A">
            <w:pPr>
              <w:tabs>
                <w:tab w:val="left" w:pos="6375"/>
              </w:tabs>
              <w:jc w:val="both"/>
              <w:rPr>
                <w:b/>
              </w:rPr>
            </w:pPr>
            <w:r>
              <w:rPr>
                <w:b/>
              </w:rPr>
              <w:t>5</w:t>
            </w:r>
            <w:r w:rsidR="008F1195">
              <w:rPr>
                <w:b/>
              </w:rPr>
              <w:t>5</w:t>
            </w:r>
            <w:r>
              <w:rPr>
                <w:b/>
              </w:rPr>
              <w:t>.</w:t>
            </w:r>
            <w:r w:rsidR="008F1195">
              <w:rPr>
                <w:b/>
              </w:rPr>
              <w:t>6</w:t>
            </w:r>
            <w:r w:rsidR="00B17040">
              <w:rPr>
                <w:b/>
              </w:rPr>
              <w:t xml:space="preserve"> % rate</w:t>
            </w:r>
          </w:p>
        </w:tc>
        <w:tc>
          <w:tcPr>
            <w:tcW w:w="1558" w:type="dxa"/>
          </w:tcPr>
          <w:p w:rsidR="00B17040" w:rsidRDefault="00DA7F0F" w:rsidP="00E9238A">
            <w:pPr>
              <w:tabs>
                <w:tab w:val="left" w:pos="6375"/>
              </w:tabs>
              <w:jc w:val="both"/>
              <w:rPr>
                <w:b/>
              </w:rPr>
            </w:pPr>
            <w:r>
              <w:rPr>
                <w:b/>
              </w:rPr>
              <w:t>40</w:t>
            </w:r>
          </w:p>
        </w:tc>
        <w:tc>
          <w:tcPr>
            <w:tcW w:w="1559" w:type="dxa"/>
          </w:tcPr>
          <w:p w:rsidR="00B17040" w:rsidRDefault="00DA7F0F" w:rsidP="00E9238A">
            <w:pPr>
              <w:tabs>
                <w:tab w:val="left" w:pos="6375"/>
              </w:tabs>
              <w:jc w:val="both"/>
              <w:rPr>
                <w:b/>
              </w:rPr>
            </w:pPr>
            <w:r>
              <w:rPr>
                <w:b/>
              </w:rPr>
              <w:t>76</w:t>
            </w:r>
          </w:p>
        </w:tc>
        <w:tc>
          <w:tcPr>
            <w:tcW w:w="1559" w:type="dxa"/>
          </w:tcPr>
          <w:p w:rsidR="00B17040" w:rsidRDefault="00DA7F0F" w:rsidP="00E9238A">
            <w:pPr>
              <w:tabs>
                <w:tab w:val="left" w:pos="6375"/>
              </w:tabs>
              <w:jc w:val="both"/>
              <w:rPr>
                <w:b/>
              </w:rPr>
            </w:pPr>
            <w:r>
              <w:rPr>
                <w:b/>
              </w:rPr>
              <w:t>18</w:t>
            </w:r>
          </w:p>
        </w:tc>
      </w:tr>
      <w:tr w:rsidR="00B17040" w:rsidTr="00E9238A">
        <w:tc>
          <w:tcPr>
            <w:tcW w:w="1558" w:type="dxa"/>
          </w:tcPr>
          <w:p w:rsidR="00B17040" w:rsidRDefault="00B17040" w:rsidP="00E9238A">
            <w:pPr>
              <w:tabs>
                <w:tab w:val="left" w:pos="6375"/>
              </w:tabs>
              <w:jc w:val="both"/>
              <w:rPr>
                <w:b/>
              </w:rPr>
            </w:pPr>
            <w:r>
              <w:rPr>
                <w:b/>
              </w:rPr>
              <w:t>All</w:t>
            </w:r>
          </w:p>
        </w:tc>
        <w:tc>
          <w:tcPr>
            <w:tcW w:w="1558" w:type="dxa"/>
          </w:tcPr>
          <w:p w:rsidR="00B17040" w:rsidRDefault="00B17040" w:rsidP="00E9238A">
            <w:pPr>
              <w:tabs>
                <w:tab w:val="left" w:pos="6375"/>
              </w:tabs>
              <w:jc w:val="both"/>
              <w:rPr>
                <w:b/>
              </w:rPr>
            </w:pPr>
          </w:p>
        </w:tc>
        <w:tc>
          <w:tcPr>
            <w:tcW w:w="1558" w:type="dxa"/>
          </w:tcPr>
          <w:p w:rsidR="00B17040" w:rsidRDefault="00542DF0" w:rsidP="00E9238A">
            <w:pPr>
              <w:tabs>
                <w:tab w:val="left" w:pos="6375"/>
              </w:tabs>
              <w:jc w:val="both"/>
              <w:rPr>
                <w:b/>
              </w:rPr>
            </w:pPr>
            <w:r>
              <w:rPr>
                <w:b/>
              </w:rPr>
              <w:t>61.</w:t>
            </w:r>
            <w:r w:rsidR="008F1195">
              <w:rPr>
                <w:b/>
              </w:rPr>
              <w:t>3</w:t>
            </w:r>
            <w:r w:rsidR="00B17040">
              <w:rPr>
                <w:b/>
              </w:rPr>
              <w:t xml:space="preserve"> % rate </w:t>
            </w:r>
          </w:p>
        </w:tc>
        <w:tc>
          <w:tcPr>
            <w:tcW w:w="1558" w:type="dxa"/>
          </w:tcPr>
          <w:p w:rsidR="00B17040" w:rsidRDefault="00DA7F0F" w:rsidP="00E9238A">
            <w:pPr>
              <w:tabs>
                <w:tab w:val="left" w:pos="6375"/>
              </w:tabs>
              <w:jc w:val="both"/>
              <w:rPr>
                <w:b/>
              </w:rPr>
            </w:pPr>
            <w:r>
              <w:rPr>
                <w:b/>
              </w:rPr>
              <w:t>89</w:t>
            </w:r>
          </w:p>
        </w:tc>
        <w:tc>
          <w:tcPr>
            <w:tcW w:w="1559" w:type="dxa"/>
          </w:tcPr>
          <w:p w:rsidR="00B17040" w:rsidRDefault="00220368" w:rsidP="00E9238A">
            <w:pPr>
              <w:tabs>
                <w:tab w:val="left" w:pos="6375"/>
              </w:tabs>
              <w:jc w:val="both"/>
              <w:rPr>
                <w:b/>
              </w:rPr>
            </w:pPr>
            <w:r>
              <w:rPr>
                <w:b/>
              </w:rPr>
              <w:t>224</w:t>
            </w:r>
            <w:r w:rsidR="00CB6051">
              <w:rPr>
                <w:b/>
              </w:rPr>
              <w:t>*</w:t>
            </w:r>
          </w:p>
        </w:tc>
        <w:tc>
          <w:tcPr>
            <w:tcW w:w="1559" w:type="dxa"/>
          </w:tcPr>
          <w:p w:rsidR="00B17040" w:rsidRDefault="00542DF0" w:rsidP="00E9238A">
            <w:pPr>
              <w:tabs>
                <w:tab w:val="left" w:pos="6375"/>
              </w:tabs>
              <w:jc w:val="both"/>
              <w:rPr>
                <w:b/>
              </w:rPr>
            </w:pPr>
            <w:r>
              <w:rPr>
                <w:b/>
              </w:rPr>
              <w:t>1</w:t>
            </w:r>
            <w:r w:rsidR="00DA7F0F">
              <w:rPr>
                <w:b/>
              </w:rPr>
              <w:t>6</w:t>
            </w:r>
          </w:p>
        </w:tc>
      </w:tr>
    </w:tbl>
    <w:p w:rsidR="000D4C96" w:rsidRPr="00246627" w:rsidRDefault="00CB6051" w:rsidP="003235A4">
      <w:pPr>
        <w:tabs>
          <w:tab w:val="left" w:pos="6375"/>
        </w:tabs>
        <w:jc w:val="both"/>
        <w:rPr>
          <w:b/>
          <w:i/>
          <w:sz w:val="24"/>
          <w:szCs w:val="24"/>
        </w:rPr>
      </w:pPr>
      <w:r>
        <w:rPr>
          <w:b/>
          <w:i/>
          <w:sz w:val="24"/>
          <w:szCs w:val="24"/>
        </w:rPr>
        <w:t>*Significant Demand/Need exists from Corrections facilities and Diversion Programs</w:t>
      </w:r>
      <w:r w:rsidR="00DA7F0F">
        <w:rPr>
          <w:b/>
          <w:i/>
          <w:sz w:val="24"/>
          <w:szCs w:val="24"/>
        </w:rPr>
        <w:t xml:space="preserve"> (~30% of NEW (admissions) Residential participants</w:t>
      </w:r>
      <w:r w:rsidR="001B135F">
        <w:rPr>
          <w:b/>
          <w:i/>
          <w:sz w:val="24"/>
          <w:szCs w:val="24"/>
        </w:rPr>
        <w:t>)</w:t>
      </w:r>
      <w:r w:rsidR="00DA7F0F">
        <w:rPr>
          <w:b/>
          <w:i/>
          <w:sz w:val="24"/>
          <w:szCs w:val="24"/>
        </w:rPr>
        <w:t>.</w:t>
      </w:r>
    </w:p>
    <w:p w:rsidR="00C73E40" w:rsidRDefault="00542DF0" w:rsidP="003235A4">
      <w:pPr>
        <w:tabs>
          <w:tab w:val="left" w:pos="6375"/>
        </w:tabs>
        <w:jc w:val="both"/>
        <w:rPr>
          <w:b/>
          <w:sz w:val="24"/>
          <w:szCs w:val="24"/>
        </w:rPr>
      </w:pPr>
      <w:r>
        <w:rPr>
          <w:b/>
          <w:sz w:val="24"/>
          <w:szCs w:val="24"/>
        </w:rPr>
        <w:t>2016 Residential Stats =      Occupancy rate – 88.5%; 127 Wait Listed; 26 Grads</w:t>
      </w:r>
    </w:p>
    <w:p w:rsidR="00542DF0" w:rsidRDefault="00542DF0" w:rsidP="003235A4">
      <w:pPr>
        <w:tabs>
          <w:tab w:val="left" w:pos="6375"/>
        </w:tabs>
        <w:jc w:val="both"/>
        <w:rPr>
          <w:b/>
          <w:sz w:val="24"/>
          <w:szCs w:val="24"/>
        </w:rPr>
      </w:pPr>
      <w:r w:rsidRPr="00542DF0">
        <w:rPr>
          <w:b/>
          <w:i/>
          <w:sz w:val="24"/>
          <w:szCs w:val="24"/>
        </w:rPr>
        <w:t>2015 Residential Stats =      36 Wait Listed; 13 Grads</w:t>
      </w:r>
    </w:p>
    <w:p w:rsidR="003235A4" w:rsidRPr="00DA7F0F" w:rsidRDefault="003235A4" w:rsidP="00DA7F0F">
      <w:pPr>
        <w:tabs>
          <w:tab w:val="left" w:pos="6375"/>
        </w:tabs>
        <w:jc w:val="both"/>
        <w:rPr>
          <w:b/>
          <w:sz w:val="24"/>
          <w:szCs w:val="24"/>
        </w:rPr>
      </w:pPr>
      <w:r w:rsidRPr="00246627">
        <w:rPr>
          <w:b/>
          <w:sz w:val="24"/>
          <w:szCs w:val="24"/>
        </w:rPr>
        <w:t xml:space="preserve">Community Outreach Programs - </w:t>
      </w:r>
      <w:r w:rsidR="00246627">
        <w:rPr>
          <w:b/>
          <w:sz w:val="24"/>
          <w:szCs w:val="24"/>
        </w:rPr>
        <w:t xml:space="preserve">    </w:t>
      </w:r>
      <w:r w:rsidRPr="00246627">
        <w:rPr>
          <w:b/>
          <w:sz w:val="24"/>
          <w:szCs w:val="24"/>
        </w:rPr>
        <w:t>Emotional/Inner Healing Sessions = ~150</w:t>
      </w:r>
      <w:r w:rsidR="006E32BE">
        <w:rPr>
          <w:b/>
          <w:sz w:val="24"/>
          <w:szCs w:val="24"/>
        </w:rPr>
        <w:t xml:space="preserve"> persons</w:t>
      </w:r>
      <w:r w:rsidRPr="00246627">
        <w:rPr>
          <w:b/>
          <w:sz w:val="24"/>
          <w:szCs w:val="24"/>
        </w:rPr>
        <w:t>/</w:t>
      </w:r>
      <w:proofErr w:type="spellStart"/>
      <w:r w:rsidRPr="00246627">
        <w:rPr>
          <w:b/>
          <w:sz w:val="24"/>
          <w:szCs w:val="24"/>
        </w:rPr>
        <w:t>yr</w:t>
      </w:r>
      <w:proofErr w:type="spellEnd"/>
      <w:r w:rsidRPr="00246627">
        <w:rPr>
          <w:b/>
          <w:sz w:val="24"/>
          <w:szCs w:val="24"/>
        </w:rPr>
        <w:t xml:space="preserve">; </w:t>
      </w:r>
    </w:p>
    <w:p w:rsidR="00496766" w:rsidRDefault="00496766" w:rsidP="00496766">
      <w:pPr>
        <w:tabs>
          <w:tab w:val="left" w:pos="6375"/>
        </w:tabs>
        <w:jc w:val="both"/>
        <w:rPr>
          <w:b/>
          <w:sz w:val="24"/>
          <w:szCs w:val="24"/>
        </w:rPr>
      </w:pPr>
    </w:p>
    <w:p w:rsidR="00CB6051" w:rsidRDefault="00CB6051" w:rsidP="00496766">
      <w:pPr>
        <w:tabs>
          <w:tab w:val="left" w:pos="6375"/>
        </w:tabs>
        <w:jc w:val="both"/>
        <w:rPr>
          <w:b/>
          <w:sz w:val="24"/>
          <w:szCs w:val="24"/>
        </w:rPr>
      </w:pPr>
      <w:r>
        <w:rPr>
          <w:b/>
          <w:sz w:val="24"/>
          <w:szCs w:val="24"/>
          <w:u w:val="single"/>
        </w:rPr>
        <w:t xml:space="preserve">Annual Operating Expenses: </w:t>
      </w:r>
      <w:r w:rsidR="00496766">
        <w:rPr>
          <w:b/>
          <w:sz w:val="24"/>
          <w:szCs w:val="24"/>
        </w:rPr>
        <w:t xml:space="preserve"> </w:t>
      </w:r>
    </w:p>
    <w:p w:rsidR="00496766" w:rsidRPr="00496766" w:rsidRDefault="00496766" w:rsidP="00496766">
      <w:pPr>
        <w:tabs>
          <w:tab w:val="left" w:pos="6375"/>
        </w:tabs>
        <w:jc w:val="both"/>
        <w:rPr>
          <w:b/>
          <w:sz w:val="24"/>
          <w:szCs w:val="24"/>
        </w:rPr>
      </w:pPr>
      <w:r>
        <w:rPr>
          <w:b/>
          <w:sz w:val="24"/>
          <w:szCs w:val="24"/>
        </w:rPr>
        <w:t>(2015/2016 fi</w:t>
      </w:r>
      <w:r w:rsidR="00CB6051">
        <w:rPr>
          <w:b/>
          <w:sz w:val="24"/>
          <w:szCs w:val="24"/>
        </w:rPr>
        <w:t>scal year – April 1- March 31) =</w:t>
      </w:r>
      <w:r>
        <w:rPr>
          <w:b/>
          <w:sz w:val="24"/>
          <w:szCs w:val="24"/>
        </w:rPr>
        <w:t xml:space="preserve"> </w:t>
      </w:r>
      <w:r w:rsidR="00CF5B60">
        <w:rPr>
          <w:b/>
          <w:sz w:val="24"/>
          <w:szCs w:val="24"/>
        </w:rPr>
        <w:t>~$585,000</w:t>
      </w:r>
      <w:r w:rsidR="000B7F06">
        <w:rPr>
          <w:b/>
          <w:sz w:val="24"/>
          <w:szCs w:val="24"/>
        </w:rPr>
        <w:t>; 2016</w:t>
      </w:r>
      <w:bookmarkStart w:id="0" w:name="_GoBack"/>
      <w:bookmarkEnd w:id="0"/>
      <w:r w:rsidR="00CB6051">
        <w:rPr>
          <w:b/>
          <w:sz w:val="24"/>
          <w:szCs w:val="24"/>
        </w:rPr>
        <w:t>/2017 fiscal year = ~$705,000</w:t>
      </w:r>
    </w:p>
    <w:sectPr w:rsidR="00496766" w:rsidRPr="0049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EB2"/>
    <w:multiLevelType w:val="hybridMultilevel"/>
    <w:tmpl w:val="2D104A0A"/>
    <w:lvl w:ilvl="0" w:tplc="8B56E65E">
      <w:numFmt w:val="bullet"/>
      <w:lvlText w:val="-"/>
      <w:lvlJc w:val="left"/>
      <w:pPr>
        <w:ind w:left="3570" w:hanging="360"/>
      </w:pPr>
      <w:rPr>
        <w:rFonts w:ascii="Calibri" w:eastAsiaTheme="minorHAnsi" w:hAnsi="Calibri" w:cstheme="minorBidi" w:hint="default"/>
      </w:rPr>
    </w:lvl>
    <w:lvl w:ilvl="1" w:tplc="04090003" w:tentative="1">
      <w:start w:val="1"/>
      <w:numFmt w:val="bullet"/>
      <w:lvlText w:val="o"/>
      <w:lvlJc w:val="left"/>
      <w:pPr>
        <w:ind w:left="4290" w:hanging="360"/>
      </w:pPr>
      <w:rPr>
        <w:rFonts w:ascii="Courier New" w:hAnsi="Courier New" w:cs="Courier New" w:hint="default"/>
      </w:rPr>
    </w:lvl>
    <w:lvl w:ilvl="2" w:tplc="04090005" w:tentative="1">
      <w:start w:val="1"/>
      <w:numFmt w:val="bullet"/>
      <w:lvlText w:val=""/>
      <w:lvlJc w:val="left"/>
      <w:pPr>
        <w:ind w:left="5010" w:hanging="360"/>
      </w:pPr>
      <w:rPr>
        <w:rFonts w:ascii="Wingdings" w:hAnsi="Wingdings" w:hint="default"/>
      </w:rPr>
    </w:lvl>
    <w:lvl w:ilvl="3" w:tplc="04090001" w:tentative="1">
      <w:start w:val="1"/>
      <w:numFmt w:val="bullet"/>
      <w:lvlText w:val=""/>
      <w:lvlJc w:val="left"/>
      <w:pPr>
        <w:ind w:left="5730" w:hanging="360"/>
      </w:pPr>
      <w:rPr>
        <w:rFonts w:ascii="Symbol" w:hAnsi="Symbol" w:hint="default"/>
      </w:rPr>
    </w:lvl>
    <w:lvl w:ilvl="4" w:tplc="04090003" w:tentative="1">
      <w:start w:val="1"/>
      <w:numFmt w:val="bullet"/>
      <w:lvlText w:val="o"/>
      <w:lvlJc w:val="left"/>
      <w:pPr>
        <w:ind w:left="6450" w:hanging="360"/>
      </w:pPr>
      <w:rPr>
        <w:rFonts w:ascii="Courier New" w:hAnsi="Courier New" w:cs="Courier New" w:hint="default"/>
      </w:rPr>
    </w:lvl>
    <w:lvl w:ilvl="5" w:tplc="04090005" w:tentative="1">
      <w:start w:val="1"/>
      <w:numFmt w:val="bullet"/>
      <w:lvlText w:val=""/>
      <w:lvlJc w:val="left"/>
      <w:pPr>
        <w:ind w:left="7170" w:hanging="360"/>
      </w:pPr>
      <w:rPr>
        <w:rFonts w:ascii="Wingdings" w:hAnsi="Wingdings" w:hint="default"/>
      </w:rPr>
    </w:lvl>
    <w:lvl w:ilvl="6" w:tplc="04090001" w:tentative="1">
      <w:start w:val="1"/>
      <w:numFmt w:val="bullet"/>
      <w:lvlText w:val=""/>
      <w:lvlJc w:val="left"/>
      <w:pPr>
        <w:ind w:left="7890" w:hanging="360"/>
      </w:pPr>
      <w:rPr>
        <w:rFonts w:ascii="Symbol" w:hAnsi="Symbol" w:hint="default"/>
      </w:rPr>
    </w:lvl>
    <w:lvl w:ilvl="7" w:tplc="04090003" w:tentative="1">
      <w:start w:val="1"/>
      <w:numFmt w:val="bullet"/>
      <w:lvlText w:val="o"/>
      <w:lvlJc w:val="left"/>
      <w:pPr>
        <w:ind w:left="8610" w:hanging="360"/>
      </w:pPr>
      <w:rPr>
        <w:rFonts w:ascii="Courier New" w:hAnsi="Courier New" w:cs="Courier New" w:hint="default"/>
      </w:rPr>
    </w:lvl>
    <w:lvl w:ilvl="8" w:tplc="04090005" w:tentative="1">
      <w:start w:val="1"/>
      <w:numFmt w:val="bullet"/>
      <w:lvlText w:val=""/>
      <w:lvlJc w:val="left"/>
      <w:pPr>
        <w:ind w:left="9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59"/>
    <w:rsid w:val="00086075"/>
    <w:rsid w:val="000B7F06"/>
    <w:rsid w:val="000D4C96"/>
    <w:rsid w:val="001B135F"/>
    <w:rsid w:val="001E199E"/>
    <w:rsid w:val="00220368"/>
    <w:rsid w:val="00224353"/>
    <w:rsid w:val="00246627"/>
    <w:rsid w:val="00270E5E"/>
    <w:rsid w:val="002A0EEE"/>
    <w:rsid w:val="00322732"/>
    <w:rsid w:val="003235A4"/>
    <w:rsid w:val="004461E5"/>
    <w:rsid w:val="00463C09"/>
    <w:rsid w:val="00496766"/>
    <w:rsid w:val="00542DF0"/>
    <w:rsid w:val="00544C16"/>
    <w:rsid w:val="005D250E"/>
    <w:rsid w:val="005F74AE"/>
    <w:rsid w:val="006411AE"/>
    <w:rsid w:val="006A0BC6"/>
    <w:rsid w:val="006E32BE"/>
    <w:rsid w:val="007F4F10"/>
    <w:rsid w:val="008F1195"/>
    <w:rsid w:val="009067FC"/>
    <w:rsid w:val="00A60D04"/>
    <w:rsid w:val="00B17040"/>
    <w:rsid w:val="00B319BF"/>
    <w:rsid w:val="00B403D2"/>
    <w:rsid w:val="00B47A1A"/>
    <w:rsid w:val="00B74F56"/>
    <w:rsid w:val="00C73E40"/>
    <w:rsid w:val="00CB6051"/>
    <w:rsid w:val="00CF5B60"/>
    <w:rsid w:val="00DA7F0F"/>
    <w:rsid w:val="00E027E3"/>
    <w:rsid w:val="00F463BA"/>
    <w:rsid w:val="00F7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9EA5D-5B2C-4019-A5DC-A984AB90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F72859"/>
    <w:pPr>
      <w:spacing w:after="0" w:line="240" w:lineRule="auto"/>
    </w:pPr>
    <w:rPr>
      <w:rFonts w:ascii="Papyrus" w:eastAsia="Times New Roman" w:hAnsi="Papyrus" w:cs="Times New Roman"/>
      <w:color w:val="330033"/>
      <w:kern w:val="28"/>
      <w:sz w:val="15"/>
      <w:szCs w:val="15"/>
      <w:lang w:val="en-CA" w:eastAsia="en-CA"/>
      <w14:ligatures w14:val="standard"/>
      <w14:cntxtAlts/>
    </w:rPr>
  </w:style>
  <w:style w:type="paragraph" w:styleId="BalloonText">
    <w:name w:val="Balloon Text"/>
    <w:basedOn w:val="Normal"/>
    <w:link w:val="BalloonTextChar"/>
    <w:uiPriority w:val="99"/>
    <w:semiHidden/>
    <w:unhideWhenUsed/>
    <w:rsid w:val="0044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1E5"/>
    <w:rPr>
      <w:rFonts w:ascii="Segoe UI" w:hAnsi="Segoe UI" w:cs="Segoe UI"/>
      <w:sz w:val="18"/>
      <w:szCs w:val="18"/>
    </w:rPr>
  </w:style>
  <w:style w:type="paragraph" w:styleId="ListParagraph">
    <w:name w:val="List Paragraph"/>
    <w:basedOn w:val="Normal"/>
    <w:uiPriority w:val="34"/>
    <w:qFormat/>
    <w:rsid w:val="00246627"/>
    <w:pPr>
      <w:ind w:left="720"/>
      <w:contextualSpacing/>
    </w:pPr>
  </w:style>
  <w:style w:type="table" w:styleId="TableGrid">
    <w:name w:val="Table Grid"/>
    <w:basedOn w:val="TableNormal"/>
    <w:uiPriority w:val="39"/>
    <w:rsid w:val="00F4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ingaboveg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Number of NEW RA Participants - </a:t>
            </a:r>
          </a:p>
          <a:p>
            <a:pPr>
              <a:defRPr/>
            </a:pPr>
            <a:r>
              <a:rPr lang="en-US"/>
              <a:t>Residential Program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Number of Pariticipants</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6"/>
                </a:solidFill>
              </a:ln>
              <a:effectLst/>
            </c:spPr>
            <c:trendlineType val="linear"/>
            <c:dispRSqr val="0"/>
            <c:dispEq val="0"/>
          </c:trendline>
          <c:cat>
            <c:strRef>
              <c:f>Sheet1!$B$1:$L$1</c:f>
              <c:strCache>
                <c:ptCount val="11"/>
                <c:pt idx="0">
                  <c:v>2007</c:v>
                </c:pt>
                <c:pt idx="1">
                  <c:v>2008</c:v>
                </c:pt>
                <c:pt idx="2">
                  <c:v>2009</c:v>
                </c:pt>
                <c:pt idx="3">
                  <c:v>2010</c:v>
                </c:pt>
                <c:pt idx="4">
                  <c:v>2011</c:v>
                </c:pt>
                <c:pt idx="5">
                  <c:v>2012</c:v>
                </c:pt>
                <c:pt idx="6">
                  <c:v>2013</c:v>
                </c:pt>
                <c:pt idx="7">
                  <c:v>2014</c:v>
                </c:pt>
                <c:pt idx="8">
                  <c:v>2015</c:v>
                </c:pt>
                <c:pt idx="9">
                  <c:v>2016</c:v>
                </c:pt>
                <c:pt idx="10">
                  <c:v>2017 (NOV)</c:v>
                </c:pt>
              </c:strCache>
            </c:strRef>
          </c:cat>
          <c:val>
            <c:numRef>
              <c:f>Sheet1!$B$2:$L$2</c:f>
              <c:numCache>
                <c:formatCode>General</c:formatCode>
                <c:ptCount val="11"/>
                <c:pt idx="0">
                  <c:v>13</c:v>
                </c:pt>
                <c:pt idx="1">
                  <c:v>42</c:v>
                </c:pt>
                <c:pt idx="2">
                  <c:v>33</c:v>
                </c:pt>
                <c:pt idx="3">
                  <c:v>39</c:v>
                </c:pt>
                <c:pt idx="4">
                  <c:v>27</c:v>
                </c:pt>
                <c:pt idx="5">
                  <c:v>29</c:v>
                </c:pt>
                <c:pt idx="6">
                  <c:v>35</c:v>
                </c:pt>
                <c:pt idx="7">
                  <c:v>46</c:v>
                </c:pt>
                <c:pt idx="8">
                  <c:v>49</c:v>
                </c:pt>
                <c:pt idx="9">
                  <c:v>50</c:v>
                </c:pt>
                <c:pt idx="10">
                  <c:v>89</c:v>
                </c:pt>
              </c:numCache>
            </c:numRef>
          </c:val>
          <c:extLst>
            <c:ext xmlns:c16="http://schemas.microsoft.com/office/drawing/2014/chart" uri="{C3380CC4-5D6E-409C-BE32-E72D297353CC}">
              <c16:uniqueId val="{00000001-2C7A-4A2E-AEA0-BF114D9BD899}"/>
            </c:ext>
          </c:extLst>
        </c:ser>
        <c:dLbls>
          <c:dLblPos val="inEnd"/>
          <c:showLegendKey val="0"/>
          <c:showVal val="1"/>
          <c:showCatName val="0"/>
          <c:showSerName val="0"/>
          <c:showPercent val="0"/>
          <c:showBubbleSize val="0"/>
        </c:dLbls>
        <c:gapWidth val="65"/>
        <c:axId val="369065120"/>
        <c:axId val="369072336"/>
      </c:barChart>
      <c:catAx>
        <c:axId val="369065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69072336"/>
        <c:crosses val="autoZero"/>
        <c:auto val="1"/>
        <c:lblAlgn val="ctr"/>
        <c:lblOffset val="100"/>
        <c:noMultiLvlLbl val="0"/>
      </c:catAx>
      <c:valAx>
        <c:axId val="3690723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90651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2017-12-06T17:25:00Z</cp:lastPrinted>
  <dcterms:created xsi:type="dcterms:W3CDTF">2017-12-06T21:37:00Z</dcterms:created>
  <dcterms:modified xsi:type="dcterms:W3CDTF">2017-12-06T21:37:00Z</dcterms:modified>
</cp:coreProperties>
</file>